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6E6861">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6E6861">
        <w:rPr>
          <w:rFonts w:ascii="Times New Roman" w:hAnsi="Times New Roman"/>
          <w:sz w:val="28"/>
          <w:szCs w:val="28"/>
        </w:rPr>
        <w:t xml:space="preserve"> 62/1.0-11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671653">
        <w:rPr>
          <w:rFonts w:ascii="Times New Roman" w:hAnsi="Times New Roman"/>
          <w:sz w:val="28"/>
          <w:szCs w:val="28"/>
        </w:rPr>
        <w:t>подготовки</w:t>
      </w:r>
      <w:r w:rsidR="00671653" w:rsidRPr="00671653">
        <w:rPr>
          <w:rFonts w:ascii="Times New Roman" w:hAnsi="Times New Roman"/>
          <w:sz w:val="28"/>
          <w:szCs w:val="28"/>
        </w:rPr>
        <w:t xml:space="preserve"> проекта для утверждения советом депутатов муниципального образования «Город Всеволожск» правил благоустройства территории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ED15C5">
        <w:rPr>
          <w:rFonts w:ascii="Times New Roman" w:hAnsi="Times New Roman"/>
          <w:color w:val="000000"/>
          <w:sz w:val="28"/>
          <w:szCs w:val="28"/>
        </w:rPr>
        <w:t xml:space="preserve">            </w:t>
      </w:r>
      <w:r w:rsidR="006E6861">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6E6861">
        <w:rPr>
          <w:rFonts w:ascii="Times New Roman" w:hAnsi="Times New Roman"/>
          <w:color w:val="000000"/>
          <w:sz w:val="28"/>
          <w:szCs w:val="28"/>
        </w:rPr>
        <w:t>01</w:t>
      </w:r>
      <w:r w:rsidRPr="00322564">
        <w:rPr>
          <w:rFonts w:ascii="Times New Roman" w:hAnsi="Times New Roman"/>
          <w:color w:val="000000"/>
          <w:spacing w:val="30"/>
          <w:sz w:val="28"/>
          <w:szCs w:val="28"/>
        </w:rPr>
        <w:t>"</w:t>
      </w:r>
      <w:r w:rsidR="006E6861">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0972C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CF29D4">
        <w:rPr>
          <w:rFonts w:ascii="Times New Roman" w:hAnsi="Times New Roman"/>
          <w:color w:val="000000"/>
          <w:spacing w:val="-8"/>
          <w:sz w:val="28"/>
          <w:szCs w:val="28"/>
        </w:rPr>
        <w:t xml:space="preserve"> подготовки</w:t>
      </w:r>
      <w:r w:rsidR="00CF29D4" w:rsidRPr="00CF29D4">
        <w:rPr>
          <w:rFonts w:ascii="Times New Roman" w:hAnsi="Times New Roman"/>
          <w:color w:val="000000"/>
          <w:spacing w:val="-8"/>
          <w:sz w:val="28"/>
          <w:szCs w:val="28"/>
        </w:rPr>
        <w:t xml:space="preserve"> проекта для утверждения советом депутатов муниципального образования «Город Всеволожск»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подготовка проекта для утверждения советом депутатов муниципального образования «Город Всеволожск»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w:t>
      </w:r>
      <w:proofErr w:type="gramStart"/>
      <w:r w:rsidRPr="0047203E">
        <w:rPr>
          <w:rFonts w:ascii="Times New Roman" w:hAnsi="Times New Roman"/>
          <w:color w:val="000000"/>
          <w:sz w:val="28"/>
          <w:szCs w:val="28"/>
        </w:rPr>
        <w:t xml:space="preserve">район»   </w:t>
      </w:r>
      <w:proofErr w:type="gramEnd"/>
      <w:r w:rsidRPr="0047203E">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47203E">
        <w:rPr>
          <w:rFonts w:ascii="Times New Roman" w:hAnsi="Times New Roman"/>
          <w:color w:val="000000"/>
          <w:sz w:val="28"/>
          <w:szCs w:val="28"/>
        </w:rPr>
        <w:t>перечисляются  бюджету</w:t>
      </w:r>
      <w:proofErr w:type="gramEnd"/>
      <w:r w:rsidRPr="0047203E">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r w:rsidRPr="00AE6950">
        <w:rPr>
          <w:rFonts w:ascii="Times New Roman" w:hAnsi="Times New Roman"/>
          <w:color w:val="000000"/>
          <w:sz w:val="28"/>
          <w:szCs w:val="28"/>
        </w:rPr>
        <w:lastRenderedPageBreak/>
        <w:t>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47203E">
        <w:rPr>
          <w:rFonts w:ascii="Times New Roman" w:hAnsi="Times New Roman"/>
          <w:color w:val="000000"/>
          <w:spacing w:val="-4"/>
          <w:sz w:val="28"/>
          <w:szCs w:val="28"/>
        </w:rPr>
        <w:t>полномочий  и</w:t>
      </w:r>
      <w:proofErr w:type="gramEnd"/>
      <w:r w:rsidR="00B31FC9" w:rsidRPr="0047203E">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47203E">
        <w:rPr>
          <w:rFonts w:ascii="Times New Roman" w:hAnsi="Times New Roman"/>
          <w:color w:val="000000"/>
          <w:spacing w:val="-4"/>
          <w:sz w:val="28"/>
          <w:szCs w:val="28"/>
        </w:rPr>
        <w:lastRenderedPageBreak/>
        <w:t>Отчет  за</w:t>
      </w:r>
      <w:proofErr w:type="gramEnd"/>
      <w:r w:rsidRPr="0047203E">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CF29D4" w:rsidRDefault="00CF29D4"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B72A9B" w:rsidRPr="00B72A9B">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B72A9B" w:rsidRPr="00B72A9B">
        <w:rPr>
          <w:rFonts w:ascii="Times New Roman" w:hAnsi="Times New Roman"/>
          <w:color w:val="000000"/>
          <w:spacing w:val="7"/>
          <w:sz w:val="28"/>
          <w:szCs w:val="28"/>
        </w:rPr>
        <w:t>года  по</w:t>
      </w:r>
      <w:proofErr w:type="gramEnd"/>
      <w:r w:rsidR="00B72A9B" w:rsidRPr="00B72A9B">
        <w:rPr>
          <w:rFonts w:ascii="Times New Roman" w:hAnsi="Times New Roman"/>
          <w:color w:val="000000"/>
          <w:spacing w:val="7"/>
          <w:sz w:val="28"/>
          <w:szCs w:val="28"/>
        </w:rPr>
        <w:t xml:space="preserve">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 xml:space="preserve">Действие   настоящего </w:t>
      </w:r>
      <w:proofErr w:type="gramStart"/>
      <w:r w:rsidR="008D375A" w:rsidRPr="0015660F">
        <w:rPr>
          <w:rFonts w:ascii="Times New Roman" w:hAnsi="Times New Roman"/>
          <w:color w:val="000000"/>
          <w:spacing w:val="1"/>
          <w:sz w:val="28"/>
          <w:szCs w:val="28"/>
        </w:rPr>
        <w:t>Соглашения  может</w:t>
      </w:r>
      <w:proofErr w:type="gramEnd"/>
      <w:r w:rsidR="008D375A"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CF29D4" w:rsidRPr="0015660F" w:rsidRDefault="00CF29D4" w:rsidP="00EF4F81">
      <w:pPr>
        <w:shd w:val="clear" w:color="auto" w:fill="FFFFFF"/>
        <w:spacing w:line="240" w:lineRule="auto"/>
        <w:ind w:left="34" w:right="34" w:firstLine="675"/>
        <w:jc w:val="both"/>
        <w:rPr>
          <w:rFonts w:ascii="Times New Roman" w:hAnsi="Times New Roman"/>
          <w:color w:val="000000"/>
          <w:spacing w:val="1"/>
          <w:sz w:val="28"/>
          <w:szCs w:val="28"/>
        </w:rPr>
      </w:pP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0972C1">
        <w:rPr>
          <w:rFonts w:ascii="Times New Roman" w:hAnsi="Times New Roman"/>
          <w:color w:val="000000"/>
          <w:sz w:val="28"/>
          <w:szCs w:val="28"/>
        </w:rPr>
        <w:t xml:space="preserve">го района Ленинградской </w:t>
      </w:r>
      <w:proofErr w:type="gramStart"/>
      <w:r w:rsidR="000972C1">
        <w:rPr>
          <w:rFonts w:ascii="Times New Roman" w:hAnsi="Times New Roman"/>
          <w:color w:val="000000"/>
          <w:sz w:val="28"/>
          <w:szCs w:val="28"/>
        </w:rPr>
        <w:t xml:space="preserve">области, </w:t>
      </w:r>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 газетах «Всеволожские Вести» , «Всеволожск Городская жизнь».</w:t>
      </w:r>
    </w:p>
    <w:p w:rsidR="008D375A" w:rsidRPr="00ED15C5" w:rsidRDefault="00DD6267" w:rsidP="00ED15C5">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lastRenderedPageBreak/>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574E47">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CF29D4" w:rsidRDefault="00DB60E2" w:rsidP="00DB60E2">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ED15C5">
      <w:pPr>
        <w:pStyle w:val="11"/>
        <w:shd w:val="clear" w:color="auto" w:fill="auto"/>
        <w:spacing w:after="299" w:line="240" w:lineRule="auto"/>
        <w:ind w:right="20"/>
        <w:jc w:val="left"/>
        <w:rPr>
          <w:rFonts w:ascii="Times New Roman" w:hAnsi="Times New Roman" w:cs="Times New Roman"/>
        </w:rPr>
      </w:pPr>
    </w:p>
    <w:p w:rsidR="00EF4F81" w:rsidRPr="009972E0" w:rsidRDefault="00DB60E2" w:rsidP="00DB60E2">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A43112">
        <w:rPr>
          <w:rFonts w:ascii="Times New Roman" w:hAnsi="Times New Roman" w:cs="Times New Roman"/>
        </w:rPr>
        <w:t xml:space="preserve"> </w:t>
      </w:r>
      <w:r w:rsidR="00CF29D4">
        <w:rPr>
          <w:rFonts w:ascii="Times New Roman" w:hAnsi="Times New Roman" w:cs="Times New Roman"/>
        </w:rPr>
        <w:t xml:space="preserve"> </w:t>
      </w:r>
      <w:r w:rsidR="00CF29D4" w:rsidRPr="00CF29D4">
        <w:rPr>
          <w:rFonts w:ascii="Times New Roman" w:hAnsi="Times New Roman" w:cs="Times New Roman"/>
        </w:rPr>
        <w:t xml:space="preserve">подготовки проекта для утверждения советом депутатов муниципального образования «Город Всеволожск» правил благоустройства территории поселения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ED15C5">
          <w:pgSz w:w="11906" w:h="16838"/>
          <w:pgMar w:top="1134"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ED15C5" w:rsidRDefault="00ED15C5"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972C1"/>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74E47"/>
    <w:rsid w:val="005A0F0F"/>
    <w:rsid w:val="005C4AE3"/>
    <w:rsid w:val="005D2F6F"/>
    <w:rsid w:val="00612232"/>
    <w:rsid w:val="006466D9"/>
    <w:rsid w:val="00652382"/>
    <w:rsid w:val="00671653"/>
    <w:rsid w:val="006A41C1"/>
    <w:rsid w:val="006D0A10"/>
    <w:rsid w:val="006E6861"/>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2A9B"/>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D15C5"/>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F353B9-B8C0-4949-86A6-2A5B8AAD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2018-05-29T05:12:00Z</cp:lastPrinted>
  <dcterms:created xsi:type="dcterms:W3CDTF">2018-06-04T07:56:00Z</dcterms:created>
  <dcterms:modified xsi:type="dcterms:W3CDTF">2018-06-04T07:56:00Z</dcterms:modified>
</cp:coreProperties>
</file>